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D819" w14:textId="67B30A5F" w:rsidR="00FB7F26" w:rsidRDefault="00000000">
      <w:r>
        <w:rPr>
          <w:b/>
        </w:rPr>
        <w:t>Kritiek op beleggingsbeleid</w:t>
      </w:r>
      <w:r>
        <w:t xml:space="preserve"> </w:t>
      </w:r>
      <w:r>
        <w:rPr>
          <w:b/>
        </w:rPr>
        <w:t>pensioenfonds</w:t>
      </w:r>
      <w:r w:rsidR="00B347F5">
        <w:rPr>
          <w:b/>
        </w:rPr>
        <w:t xml:space="preserve"> PFZW</w:t>
      </w:r>
      <w:r>
        <w:rPr>
          <w:b/>
        </w:rPr>
        <w:t xml:space="preserve"> </w:t>
      </w:r>
    </w:p>
    <w:p w14:paraId="60A0D81A" w14:textId="77777777" w:rsidR="00FB7F26" w:rsidRDefault="00000000">
      <w:r>
        <w:t>In diverse media zijn de afgelopen weken publicaties verschenen waarin het beleggingsbeleid van PFZW en andere pensioenfondsen wordt bekritiseerd. En  alhoewel een kritische benadering op zich alleen maar positief is, het maakt ons immers alert nog eens naar de feiten te kijken, het is dan wel van belang dat een oordeel moet zijn gebaseerd op de feiten.</w:t>
      </w:r>
    </w:p>
    <w:p w14:paraId="60A0D81B" w14:textId="77777777" w:rsidR="00FB7F26" w:rsidRDefault="00000000">
      <w:r>
        <w:t>En juist op dat punt moeten we vaststellen dat nogal wat zaken worden genoemd die met de feitelijke situatie bij PFZW niet overeenstemmen. Wij geven een aantal voorbeelden.</w:t>
      </w:r>
    </w:p>
    <w:p w14:paraId="60A0D81C" w14:textId="77777777" w:rsidR="00FB7F26" w:rsidRDefault="00000000">
      <w:pPr>
        <w:numPr>
          <w:ilvl w:val="0"/>
          <w:numId w:val="1"/>
        </w:numPr>
        <w:pBdr>
          <w:top w:val="nil"/>
          <w:left w:val="nil"/>
          <w:bottom w:val="nil"/>
          <w:right w:val="nil"/>
          <w:between w:val="nil"/>
        </w:pBdr>
        <w:spacing w:after="0"/>
      </w:pPr>
      <w:r>
        <w:rPr>
          <w:color w:val="000000"/>
        </w:rPr>
        <w:t xml:space="preserve">Er wordt in diverse artikelen gesteld dat het maatschappelijk verantwoord beleggen te zeer een drijfveer is voor het beleggingsbeleid en dat dit ten koste gaat van het rendement </w:t>
      </w:r>
    </w:p>
    <w:p w14:paraId="60A0D81D" w14:textId="77777777" w:rsidR="00FB7F26" w:rsidRDefault="00000000">
      <w:pPr>
        <w:numPr>
          <w:ilvl w:val="0"/>
          <w:numId w:val="1"/>
        </w:numPr>
        <w:pBdr>
          <w:top w:val="nil"/>
          <w:left w:val="nil"/>
          <w:bottom w:val="nil"/>
          <w:right w:val="nil"/>
          <w:between w:val="nil"/>
        </w:pBdr>
        <w:spacing w:after="0"/>
      </w:pPr>
      <w:r>
        <w:rPr>
          <w:color w:val="000000"/>
        </w:rPr>
        <w:t>Er wordt gesteld dat dit beleid er toe leidt dat op termijn het aantal bedrijven waarin wordt belegd terug zal gaan naar 70 en dit een concentratierisico veroorzaakt.</w:t>
      </w:r>
    </w:p>
    <w:p w14:paraId="60A0D81E" w14:textId="77777777" w:rsidR="00FB7F26" w:rsidRDefault="00000000">
      <w:pPr>
        <w:numPr>
          <w:ilvl w:val="0"/>
          <w:numId w:val="1"/>
        </w:numPr>
        <w:pBdr>
          <w:top w:val="nil"/>
          <w:left w:val="nil"/>
          <w:bottom w:val="nil"/>
          <w:right w:val="nil"/>
          <w:between w:val="nil"/>
        </w:pBdr>
      </w:pPr>
      <w:r>
        <w:rPr>
          <w:color w:val="000000"/>
        </w:rPr>
        <w:t>Ook wordt gesuggereerd dat interne kritiek op het nieuwe beleggingsbeleid niet wordt geaccepteerd.</w:t>
      </w:r>
    </w:p>
    <w:p w14:paraId="60A0D81F" w14:textId="77777777" w:rsidR="00FB7F26" w:rsidRDefault="00000000">
      <w:r>
        <w:t>Wat zijn echter op die punten de door ons vastgestelde feiten, die wij vanuit de informatie verstrekt aan de Pensioenraad kunnen vaststellen.</w:t>
      </w:r>
    </w:p>
    <w:p w14:paraId="60A0D820" w14:textId="77777777" w:rsidR="00FB7F26" w:rsidRDefault="00000000">
      <w:pPr>
        <w:numPr>
          <w:ilvl w:val="0"/>
          <w:numId w:val="2"/>
        </w:numPr>
        <w:pBdr>
          <w:top w:val="nil"/>
          <w:left w:val="nil"/>
          <w:bottom w:val="nil"/>
          <w:right w:val="nil"/>
          <w:between w:val="nil"/>
        </w:pBdr>
        <w:spacing w:after="0"/>
      </w:pPr>
      <w:r>
        <w:rPr>
          <w:color w:val="000000"/>
        </w:rPr>
        <w:t>Het totale beleggingsbeleid is gebaseerd op rendement verwachtingen en de ingeschatte risico’s van de belegging alsmede op de zogeheten esg factoren.</w:t>
      </w:r>
      <w:r>
        <w:rPr>
          <w:color w:val="000000"/>
        </w:rPr>
        <w:br/>
        <w:t>Gemeten over de afgelopen 5 jaren hebben specifieke esg beleggingen een nagenoeg tot achter de komma gelijk resultaat opgeleverd als andere beleggingen met een vergelijkbaar risico.</w:t>
      </w:r>
    </w:p>
    <w:p w14:paraId="60A0D821" w14:textId="63585E30" w:rsidR="00FB7F26" w:rsidRDefault="00000000">
      <w:pPr>
        <w:numPr>
          <w:ilvl w:val="0"/>
          <w:numId w:val="2"/>
        </w:numPr>
        <w:pBdr>
          <w:top w:val="nil"/>
          <w:left w:val="nil"/>
          <w:bottom w:val="nil"/>
          <w:right w:val="nil"/>
          <w:between w:val="nil"/>
        </w:pBdr>
        <w:spacing w:after="0"/>
      </w:pPr>
      <w:r>
        <w:rPr>
          <w:color w:val="000000"/>
        </w:rPr>
        <w:t>De voorgenomen wijzigingen in het beleid, het zogenaamde 3D-beleggen, he</w:t>
      </w:r>
      <w:r w:rsidR="0009215E">
        <w:rPr>
          <w:color w:val="000000"/>
        </w:rPr>
        <w:t xml:space="preserve">bben </w:t>
      </w:r>
      <w:r>
        <w:rPr>
          <w:color w:val="000000"/>
        </w:rPr>
        <w:t>betrekking op het gegeven dat er tot nu toe afzonderlijke portefeuilles zijn met een esg karakter en dat specifieke fondsbeheerders daarvoor verantwoordelijk zijn. In de nabije toekomst zullen alle beleggingen naast de beoordeling risico en rendement ook op de esg factoren beoordeeld worden.</w:t>
      </w:r>
      <w:r>
        <w:rPr>
          <w:color w:val="000000"/>
        </w:rPr>
        <w:br/>
        <w:t xml:space="preserve">Van een inperking van de portefeuille naar 70 bedrijven zal en kan geen sprake zijn. Het zal eerder gelet op de omvang van het fonds </w:t>
      </w:r>
      <w:r w:rsidR="0009215E">
        <w:rPr>
          <w:color w:val="000000"/>
        </w:rPr>
        <w:t>vermoedelij</w:t>
      </w:r>
      <w:r w:rsidR="00D31537">
        <w:rPr>
          <w:color w:val="000000"/>
        </w:rPr>
        <w:t xml:space="preserve">k </w:t>
      </w:r>
      <w:r>
        <w:rPr>
          <w:color w:val="000000"/>
        </w:rPr>
        <w:t xml:space="preserve">om meer dan 1000 vermogenstitels blijven gaan. Bovendien de invoering van deze werkwijze zal pas vanaf het tweede kwartaal 2025 geleidelijk worden ingevoerd. </w:t>
      </w:r>
    </w:p>
    <w:p w14:paraId="60A0D822" w14:textId="77777777" w:rsidR="00FB7F26" w:rsidRDefault="00000000">
      <w:pPr>
        <w:numPr>
          <w:ilvl w:val="0"/>
          <w:numId w:val="2"/>
        </w:numPr>
        <w:pBdr>
          <w:top w:val="nil"/>
          <w:left w:val="nil"/>
          <w:bottom w:val="nil"/>
          <w:right w:val="nil"/>
          <w:between w:val="nil"/>
        </w:pBdr>
      </w:pPr>
      <w:r>
        <w:rPr>
          <w:color w:val="000000"/>
        </w:rPr>
        <w:t>De suggestie dat kritiek op dit beleid niet wordt getolereerd is naar onze waarneming niet terecht. Wel stellen we vast dat waar een meer geïntegreerde aanpak wordt voorgesteld, de veranderingen die dit veroorzaakt in de organisatie van de uitvoeringsorganisatie op weerstand stuit.</w:t>
      </w:r>
    </w:p>
    <w:p w14:paraId="60A0D823" w14:textId="77777777" w:rsidR="00FB7F26" w:rsidRDefault="00000000">
      <w:r>
        <w:t>Heeft de BPP dan geen punten van kritiek op de gang van zaken bij PFZW, zult u zich afvragen. Ja die hebben wij wel en duiden wij hieronder in het kort aan.</w:t>
      </w:r>
    </w:p>
    <w:p w14:paraId="60A0D824" w14:textId="77777777" w:rsidR="00FB7F26" w:rsidRDefault="00000000">
      <w:pPr>
        <w:numPr>
          <w:ilvl w:val="0"/>
          <w:numId w:val="3"/>
        </w:numPr>
        <w:pBdr>
          <w:top w:val="nil"/>
          <w:left w:val="nil"/>
          <w:bottom w:val="nil"/>
          <w:right w:val="nil"/>
          <w:between w:val="nil"/>
        </w:pBdr>
        <w:spacing w:after="0"/>
      </w:pPr>
      <w:r>
        <w:rPr>
          <w:color w:val="000000"/>
        </w:rPr>
        <w:t xml:space="preserve">De evenwichtige wijze waarop rendement, risico en esg beleid voor alle beleggingsvormen wordt nagestreefd blijkt helaas niet of te weinig in de publicaties van PFZW. Daar wordt wel heel vaak uitsluitend het beleid met </w:t>
      </w:r>
      <w:r>
        <w:rPr>
          <w:color w:val="000000"/>
        </w:rPr>
        <w:lastRenderedPageBreak/>
        <w:t>betrekking tot het maatschappelijk verantwoord beleggen uitgedragen. Te weinig aandacht wordt besteed aan zaken als rendement en risicobeleid.</w:t>
      </w:r>
    </w:p>
    <w:p w14:paraId="60A0D825" w14:textId="77777777" w:rsidR="00FB7F26" w:rsidRDefault="00000000">
      <w:pPr>
        <w:numPr>
          <w:ilvl w:val="0"/>
          <w:numId w:val="3"/>
        </w:numPr>
        <w:pBdr>
          <w:top w:val="nil"/>
          <w:left w:val="nil"/>
          <w:bottom w:val="nil"/>
          <w:right w:val="nil"/>
          <w:between w:val="nil"/>
        </w:pBdr>
        <w:spacing w:after="0"/>
      </w:pPr>
      <w:r>
        <w:rPr>
          <w:color w:val="000000"/>
        </w:rPr>
        <w:t>Net als bij andere onderwerpen zou de communicatie naar de deelnemers toe meer gericht moeten zijn in voor de deelnemers begrijpelijke artikelen en minder technisch moeten worden verwoord.</w:t>
      </w:r>
    </w:p>
    <w:p w14:paraId="60A0D826" w14:textId="77777777" w:rsidR="00FB7F26" w:rsidRDefault="00000000">
      <w:pPr>
        <w:numPr>
          <w:ilvl w:val="0"/>
          <w:numId w:val="3"/>
        </w:numPr>
        <w:pBdr>
          <w:top w:val="nil"/>
          <w:left w:val="nil"/>
          <w:bottom w:val="nil"/>
          <w:right w:val="nil"/>
          <w:between w:val="nil"/>
        </w:pBdr>
      </w:pPr>
      <w:r>
        <w:rPr>
          <w:color w:val="000000"/>
        </w:rPr>
        <w:t xml:space="preserve">Het niet publiekelijk reageren op externe berichten in de media is naar onze </w:t>
      </w:r>
      <w:r>
        <w:t>mening</w:t>
      </w:r>
      <w:r>
        <w:rPr>
          <w:color w:val="000000"/>
        </w:rPr>
        <w:t xml:space="preserve"> onjuist en vindt veel te weinig plaats. De aanname dat dit alleen maar onnodige reuring zou opleveren getuig</w:t>
      </w:r>
      <w:r>
        <w:t>t</w:t>
      </w:r>
      <w:r>
        <w:rPr>
          <w:color w:val="000000"/>
        </w:rPr>
        <w:t xml:space="preserve"> wat ons betreft van een arrogante houding en is te weinig gericht op een open communicatie met de deelnemers.</w:t>
      </w:r>
    </w:p>
    <w:p w14:paraId="60A0D827" w14:textId="77777777" w:rsidR="00FB7F26" w:rsidRDefault="00000000">
      <w:r>
        <w:t>Kortom, er is werk aan de winkel en het is tijd voor een verdere discussie wat hier aan te doen. Dat diverse kranten en andere media weinig kritisch lijken te zijn gelet op de overname van onjuiste publicaties is uitermate storend. Het bestuur zou samen met het bestuursbureau foute berichtgeving moeten weerleggen, Daarover zullen we in de Pensioenraad de discussie voortzetten.</w:t>
      </w:r>
    </w:p>
    <w:p w14:paraId="36F8CE07" w14:textId="26845948" w:rsidR="005807F0" w:rsidRDefault="005807F0">
      <w:r>
        <w:t>En laat er geen misverstand over bestaan. Met alle veranderingen die op komst zijn zullen we het bele</w:t>
      </w:r>
      <w:r w:rsidR="007579CB">
        <w:t>id van het bestuur en de uitvoering daarvan</w:t>
      </w:r>
      <w:r w:rsidR="004677DD">
        <w:t xml:space="preserve"> kritisch blijven </w:t>
      </w:r>
      <w:r w:rsidR="006672BE">
        <w:t xml:space="preserve">volgen. Suggesties van  </w:t>
      </w:r>
      <w:r w:rsidR="000B3D9C">
        <w:t xml:space="preserve">de leden zijn daarbij van harte welkom. Helaas moeten we daarbij wel aangeven dat niet alles wat door anderen wordt gepubliceerd </w:t>
      </w:r>
      <w:r w:rsidR="00B46FAB">
        <w:t>perse op juiste informatie berust. Maar ook dat zullen we kritisch en met een open mind blijven volgen</w:t>
      </w:r>
      <w:r w:rsidR="0032570F">
        <w:t>.</w:t>
      </w:r>
    </w:p>
    <w:sectPr w:rsidR="005807F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BE29D370-1AF6-42E4-9331-FFD4F1150F2A}"/>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FA8486FB-4A3E-4475-B83D-1B0BAB7D74E6}"/>
    <w:embedItalic r:id="rId3" w:fontKey="{76821211-7A0B-410F-ADC4-A205DD57CDB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3134"/>
    <w:multiLevelType w:val="multilevel"/>
    <w:tmpl w:val="A24CC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DE005E"/>
    <w:multiLevelType w:val="multilevel"/>
    <w:tmpl w:val="809EA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342175"/>
    <w:multiLevelType w:val="multilevel"/>
    <w:tmpl w:val="95847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468138">
    <w:abstractNumId w:val="0"/>
  </w:num>
  <w:num w:numId="2" w16cid:durableId="38020558">
    <w:abstractNumId w:val="1"/>
  </w:num>
  <w:num w:numId="3" w16cid:durableId="1117719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26"/>
    <w:rsid w:val="0009215E"/>
    <w:rsid w:val="000B3D9C"/>
    <w:rsid w:val="0032570F"/>
    <w:rsid w:val="004677DD"/>
    <w:rsid w:val="00467B43"/>
    <w:rsid w:val="005807F0"/>
    <w:rsid w:val="006672BE"/>
    <w:rsid w:val="007579CB"/>
    <w:rsid w:val="00B347F5"/>
    <w:rsid w:val="00B46FAB"/>
    <w:rsid w:val="00D31537"/>
    <w:rsid w:val="00DB3B44"/>
    <w:rsid w:val="00FB7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D819"/>
  <w15:docId w15:val="{236E84A8-837E-46A8-B0D5-B70EADD0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nl-NL" w:eastAsia="nl-NL"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562A"/>
  </w:style>
  <w:style w:type="paragraph" w:styleId="Kop1">
    <w:name w:val="heading 1"/>
    <w:basedOn w:val="Standaard"/>
    <w:next w:val="Standaard"/>
    <w:link w:val="Kop1Char"/>
    <w:uiPriority w:val="9"/>
    <w:qFormat/>
    <w:rsid w:val="00845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5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56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56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4562A"/>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456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4562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4562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4562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45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456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56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562A"/>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84562A"/>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84562A"/>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84562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4562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4562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4562A"/>
    <w:rPr>
      <w:rFonts w:asciiTheme="minorHAnsi" w:eastAsiaTheme="majorEastAsia" w:hAnsiTheme="minorHAnsi" w:cstheme="majorBidi"/>
      <w:color w:val="272727" w:themeColor="text1" w:themeTint="D8"/>
    </w:rPr>
  </w:style>
  <w:style w:type="character" w:customStyle="1" w:styleId="TitelChar">
    <w:name w:val="Titel Char"/>
    <w:basedOn w:val="Standaardalinea-lettertype"/>
    <w:link w:val="Titel"/>
    <w:uiPriority w:val="10"/>
    <w:rsid w:val="008456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Pr>
      <w:rFonts w:ascii="Aptos" w:eastAsia="Aptos" w:hAnsi="Aptos" w:cs="Aptos"/>
      <w:color w:val="595959"/>
      <w:sz w:val="28"/>
      <w:szCs w:val="28"/>
    </w:rPr>
  </w:style>
  <w:style w:type="character" w:customStyle="1" w:styleId="OndertitelChar">
    <w:name w:val="Ondertitel Char"/>
    <w:basedOn w:val="Standaardalinea-lettertype"/>
    <w:link w:val="Ondertitel"/>
    <w:uiPriority w:val="11"/>
    <w:rsid w:val="0084562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456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562A"/>
    <w:rPr>
      <w:i/>
      <w:iCs/>
      <w:color w:val="404040" w:themeColor="text1" w:themeTint="BF"/>
    </w:rPr>
  </w:style>
  <w:style w:type="paragraph" w:styleId="Lijstalinea">
    <w:name w:val="List Paragraph"/>
    <w:basedOn w:val="Standaard"/>
    <w:uiPriority w:val="34"/>
    <w:qFormat/>
    <w:rsid w:val="0084562A"/>
    <w:pPr>
      <w:ind w:left="720"/>
      <w:contextualSpacing/>
    </w:pPr>
  </w:style>
  <w:style w:type="character" w:styleId="Intensievebenadrukking">
    <w:name w:val="Intense Emphasis"/>
    <w:basedOn w:val="Standaardalinea-lettertype"/>
    <w:uiPriority w:val="21"/>
    <w:qFormat/>
    <w:rsid w:val="0084562A"/>
    <w:rPr>
      <w:i/>
      <w:iCs/>
      <w:color w:val="0F4761" w:themeColor="accent1" w:themeShade="BF"/>
    </w:rPr>
  </w:style>
  <w:style w:type="paragraph" w:styleId="Duidelijkcitaat">
    <w:name w:val="Intense Quote"/>
    <w:basedOn w:val="Standaard"/>
    <w:next w:val="Standaard"/>
    <w:link w:val="DuidelijkcitaatChar"/>
    <w:uiPriority w:val="30"/>
    <w:qFormat/>
    <w:rsid w:val="00845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562A"/>
    <w:rPr>
      <w:i/>
      <w:iCs/>
      <w:color w:val="0F4761" w:themeColor="accent1" w:themeShade="BF"/>
    </w:rPr>
  </w:style>
  <w:style w:type="character" w:styleId="Intensieveverwijzing">
    <w:name w:val="Intense Reference"/>
    <w:basedOn w:val="Standaardalinea-lettertype"/>
    <w:uiPriority w:val="32"/>
    <w:qFormat/>
    <w:rsid w:val="0084562A"/>
    <w:rPr>
      <w:b/>
      <w:bCs/>
      <w:smallCaps/>
      <w:color w:val="0F4761" w:themeColor="accent1" w:themeShade="BF"/>
      <w:spacing w:val="5"/>
    </w:rPr>
  </w:style>
  <w:style w:type="paragraph" w:styleId="Revisie">
    <w:name w:val="Revision"/>
    <w:hidden/>
    <w:uiPriority w:val="99"/>
    <w:semiHidden/>
    <w:rsid w:val="00845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7uAMAgs2ObmdMvICbi+HWivQ==">CgMxLjA4AGomChRzdWdnZXN0LnNobnB4aGk5ZWVlZRIOS29vcyBTcGFuYnJvZWtqJQoTc3VnZ2VzdC4ycjI3ZHl4NW85bxIOS29vcyBTcGFuYnJvZWtyITFpRTV6RVNjXzRwX3VfZ2kxX2RwRm54Wk1odXY4T0pFOQ==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3608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ceesmic09@outlook.com</dc:creator>
  <cp:lastModifiedBy>ceesmic09@outlook.com</cp:lastModifiedBy>
  <cp:revision>11</cp:revision>
  <dcterms:created xsi:type="dcterms:W3CDTF">2025-01-12T14:39:00Z</dcterms:created>
  <dcterms:modified xsi:type="dcterms:W3CDTF">2025-01-19T13:40:00Z</dcterms:modified>
</cp:coreProperties>
</file>