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4CBF" w14:textId="77777777" w:rsidR="007374AF" w:rsidRDefault="007374AF" w:rsidP="007374AF">
      <w:pPr>
        <w:shd w:val="clear" w:color="auto" w:fill="F7F7F7"/>
        <w:spacing w:after="360" w:line="240" w:lineRule="auto"/>
        <w:rPr>
          <w:rFonts w:ascii="Open Sans" w:hAnsi="Open Sans" w:cs="Open Sans"/>
          <w:b/>
          <w:bCs/>
          <w:color w:val="393A3C"/>
          <w:bdr w:val="none" w:sz="0" w:space="0" w:color="auto" w:frame="1"/>
          <w:shd w:val="clear" w:color="auto" w:fill="F7F7F7"/>
        </w:rPr>
      </w:pPr>
      <w:r>
        <w:rPr>
          <w:rFonts w:ascii="Open Sans" w:hAnsi="Open Sans" w:cs="Open Sans"/>
          <w:b/>
          <w:bCs/>
          <w:color w:val="393A3C"/>
          <w:bdr w:val="none" w:sz="0" w:space="0" w:color="auto" w:frame="1"/>
          <w:shd w:val="clear" w:color="auto" w:fill="F7F7F7"/>
        </w:rPr>
        <w:t>Rekenvoorbeelden voor 2025</w:t>
      </w:r>
    </w:p>
    <w:p w14:paraId="24D1DF87" w14:textId="061653AA" w:rsidR="007374AF" w:rsidRPr="007374AF" w:rsidRDefault="007374AF" w:rsidP="007374AF">
      <w:pPr>
        <w:shd w:val="clear" w:color="auto" w:fill="F7F7F7"/>
        <w:spacing w:after="360" w:line="240" w:lineRule="auto"/>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Bij €100 pensioen per maand en 3% prijsinflatie op 30 september 2024:</w:t>
      </w:r>
    </w:p>
    <w:p w14:paraId="22791077" w14:textId="77777777" w:rsidR="007374AF" w:rsidRPr="007374AF" w:rsidRDefault="007374AF" w:rsidP="007374AF">
      <w:pPr>
        <w:numPr>
          <w:ilvl w:val="0"/>
          <w:numId w:val="1"/>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110% (en lager): wij verhogen uw pensioen niet </w:t>
      </w:r>
    </w:p>
    <w:p w14:paraId="19797794" w14:textId="77777777" w:rsidR="007374AF" w:rsidRPr="007374AF" w:rsidRDefault="007374AF" w:rsidP="007374AF">
      <w:pPr>
        <w:numPr>
          <w:ilvl w:val="0"/>
          <w:numId w:val="1"/>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112%: wij verhogen uw pensioen met €0,90 per maand</w:t>
      </w:r>
    </w:p>
    <w:p w14:paraId="63ED3424" w14:textId="77777777" w:rsidR="007374AF" w:rsidRPr="007374AF" w:rsidRDefault="007374AF" w:rsidP="007374AF">
      <w:pPr>
        <w:numPr>
          <w:ilvl w:val="0"/>
          <w:numId w:val="1"/>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114%: wij verhogen uw pensioen met €1,80 per maand</w:t>
      </w:r>
    </w:p>
    <w:p w14:paraId="1DF63EF1" w14:textId="77777777" w:rsidR="007374AF" w:rsidRPr="007374AF" w:rsidRDefault="007374AF" w:rsidP="007374AF">
      <w:pPr>
        <w:numPr>
          <w:ilvl w:val="0"/>
          <w:numId w:val="1"/>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115%: wij verhogen uw pensioen met €2,20 per maand</w:t>
      </w:r>
    </w:p>
    <w:p w14:paraId="0AD972AE" w14:textId="77777777" w:rsidR="007374AF" w:rsidRPr="007374AF" w:rsidRDefault="007374AF" w:rsidP="007374AF">
      <w:pPr>
        <w:numPr>
          <w:ilvl w:val="0"/>
          <w:numId w:val="1"/>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116% (en hoger): wij verhogen uw pensioen met €3,00 per maand</w:t>
      </w:r>
    </w:p>
    <w:p w14:paraId="7256BF2D" w14:textId="77777777" w:rsidR="007374AF" w:rsidRPr="007374AF" w:rsidRDefault="007374AF" w:rsidP="007374AF">
      <w:pPr>
        <w:shd w:val="clear" w:color="auto" w:fill="F7F7F7"/>
        <w:spacing w:after="0" w:line="240" w:lineRule="auto"/>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b/>
          <w:bCs/>
          <w:color w:val="393A3C"/>
          <w:kern w:val="0"/>
          <w:szCs w:val="24"/>
          <w:bdr w:val="none" w:sz="0" w:space="0" w:color="auto" w:frame="1"/>
          <w:lang w:eastAsia="nl-NL"/>
          <w14:ligatures w14:val="none"/>
        </w:rPr>
        <w:t>Rekenvoorbeelden voor 2024</w:t>
      </w:r>
      <w:r w:rsidRPr="007374AF">
        <w:rPr>
          <w:rFonts w:ascii="Open Sans" w:eastAsia="Times New Roman" w:hAnsi="Open Sans" w:cs="Open Sans"/>
          <w:b/>
          <w:bCs/>
          <w:color w:val="393A3C"/>
          <w:kern w:val="0"/>
          <w:szCs w:val="24"/>
          <w:bdr w:val="none" w:sz="0" w:space="0" w:color="auto" w:frame="1"/>
          <w:lang w:eastAsia="nl-NL"/>
          <w14:ligatures w14:val="none"/>
        </w:rPr>
        <w:br/>
      </w:r>
      <w:r w:rsidRPr="007374AF">
        <w:rPr>
          <w:rFonts w:ascii="Open Sans" w:eastAsia="Times New Roman" w:hAnsi="Open Sans" w:cs="Open Sans"/>
          <w:color w:val="393A3C"/>
          <w:kern w:val="0"/>
          <w:szCs w:val="24"/>
          <w:bdr w:val="none" w:sz="0" w:space="0" w:color="auto" w:frame="1"/>
          <w:lang w:eastAsia="nl-NL"/>
          <w14:ligatures w14:val="none"/>
        </w:rPr>
        <w:t>Met de berekeningswijze van vorig jaar zou dat dat gaan bij €100 pensioen per maand en 3% prijsinflatie om verhogingen van:</w:t>
      </w:r>
    </w:p>
    <w:p w14:paraId="04F118CA" w14:textId="77777777" w:rsidR="007374AF" w:rsidRPr="007374AF" w:rsidRDefault="007374AF" w:rsidP="007374AF">
      <w:pPr>
        <w:numPr>
          <w:ilvl w:val="0"/>
          <w:numId w:val="2"/>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105% (en lager): geen verhoging </w:t>
      </w:r>
    </w:p>
    <w:p w14:paraId="3050B61B" w14:textId="77777777" w:rsidR="007374AF" w:rsidRPr="007374AF" w:rsidRDefault="007374AF" w:rsidP="007374AF">
      <w:pPr>
        <w:numPr>
          <w:ilvl w:val="0"/>
          <w:numId w:val="2"/>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110%: verhoging met €0,90 per maand</w:t>
      </w:r>
    </w:p>
    <w:p w14:paraId="2366F08B" w14:textId="77777777" w:rsidR="007374AF" w:rsidRPr="007374AF" w:rsidRDefault="007374AF" w:rsidP="007374AF">
      <w:pPr>
        <w:numPr>
          <w:ilvl w:val="0"/>
          <w:numId w:val="2"/>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112%: verhoging met €1,80 per maand</w:t>
      </w:r>
    </w:p>
    <w:p w14:paraId="3F26C9F4" w14:textId="77777777" w:rsidR="007374AF" w:rsidRPr="007374AF" w:rsidRDefault="007374AF" w:rsidP="007374AF">
      <w:pPr>
        <w:numPr>
          <w:ilvl w:val="0"/>
          <w:numId w:val="2"/>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114%: verhoging met €2,70 per maand</w:t>
      </w:r>
    </w:p>
    <w:p w14:paraId="09145444" w14:textId="7F070D96" w:rsidR="00E65B73" w:rsidRDefault="007374AF" w:rsidP="00E65B73">
      <w:pPr>
        <w:numPr>
          <w:ilvl w:val="0"/>
          <w:numId w:val="2"/>
        </w:numPr>
        <w:shd w:val="clear" w:color="auto" w:fill="F7F7F7"/>
        <w:spacing w:after="0" w:line="240" w:lineRule="auto"/>
        <w:ind w:left="960"/>
        <w:rPr>
          <w:rFonts w:ascii="Open Sans" w:eastAsia="Times New Roman" w:hAnsi="Open Sans" w:cs="Open Sans"/>
          <w:color w:val="393A3C"/>
          <w:kern w:val="0"/>
          <w:szCs w:val="24"/>
          <w:lang w:eastAsia="nl-NL"/>
          <w14:ligatures w14:val="none"/>
        </w:rPr>
      </w:pPr>
      <w:r w:rsidRPr="007374AF">
        <w:rPr>
          <w:rFonts w:ascii="Open Sans" w:eastAsia="Times New Roman" w:hAnsi="Open Sans" w:cs="Open Sans"/>
          <w:color w:val="393A3C"/>
          <w:kern w:val="0"/>
          <w:szCs w:val="24"/>
          <w:lang w:eastAsia="nl-NL"/>
          <w14:ligatures w14:val="none"/>
        </w:rPr>
        <w:t>Dekkingsgraad 115% (en hoger): verhoging met €3,00 per maand</w:t>
      </w:r>
    </w:p>
    <w:p w14:paraId="5D57BBDC" w14:textId="77777777" w:rsidR="00E65B73" w:rsidRDefault="00E65B73" w:rsidP="00E65B73">
      <w:pPr>
        <w:shd w:val="clear" w:color="auto" w:fill="F7F7F7"/>
        <w:spacing w:after="0" w:line="240" w:lineRule="auto"/>
        <w:rPr>
          <w:rFonts w:ascii="Open Sans" w:eastAsia="Times New Roman" w:hAnsi="Open Sans" w:cs="Open Sans"/>
          <w:color w:val="393A3C"/>
          <w:kern w:val="0"/>
          <w:szCs w:val="24"/>
          <w:lang w:eastAsia="nl-NL"/>
          <w14:ligatures w14:val="none"/>
        </w:rPr>
      </w:pPr>
    </w:p>
    <w:p w14:paraId="5B66EEC7" w14:textId="79973F70" w:rsidR="00E65B73" w:rsidRDefault="00E65B73" w:rsidP="00E65B73">
      <w:pPr>
        <w:shd w:val="clear" w:color="auto" w:fill="F7F7F7"/>
        <w:spacing w:after="0" w:line="240" w:lineRule="auto"/>
        <w:rPr>
          <w:rFonts w:ascii="Open Sans" w:eastAsia="Times New Roman" w:hAnsi="Open Sans" w:cs="Open Sans"/>
          <w:b/>
          <w:bCs/>
          <w:color w:val="393A3C"/>
          <w:kern w:val="0"/>
          <w:szCs w:val="24"/>
          <w:lang w:eastAsia="nl-NL"/>
          <w14:ligatures w14:val="none"/>
        </w:rPr>
      </w:pPr>
      <w:r w:rsidRPr="00E65B73">
        <w:rPr>
          <w:rFonts w:ascii="Open Sans" w:eastAsia="Times New Roman" w:hAnsi="Open Sans" w:cs="Open Sans"/>
          <w:b/>
          <w:bCs/>
          <w:color w:val="393A3C"/>
          <w:kern w:val="0"/>
          <w:szCs w:val="24"/>
          <w:lang w:eastAsia="nl-NL"/>
          <w14:ligatures w14:val="none"/>
        </w:rPr>
        <w:t>Conclusie</w:t>
      </w:r>
    </w:p>
    <w:p w14:paraId="03DCF107" w14:textId="0E096ED5" w:rsidR="00E65B73" w:rsidRPr="00E65B73" w:rsidRDefault="00E65B73" w:rsidP="00E65B73">
      <w:pPr>
        <w:shd w:val="clear" w:color="auto" w:fill="F7F7F7"/>
        <w:spacing w:after="0" w:line="240" w:lineRule="auto"/>
        <w:rPr>
          <w:rFonts w:ascii="Open Sans" w:eastAsia="Times New Roman" w:hAnsi="Open Sans" w:cs="Open Sans"/>
          <w:color w:val="393A3C"/>
          <w:kern w:val="0"/>
          <w:szCs w:val="24"/>
          <w:lang w:eastAsia="nl-NL"/>
          <w14:ligatures w14:val="none"/>
        </w:rPr>
      </w:pPr>
      <w:r w:rsidRPr="00E65B73">
        <w:rPr>
          <w:rFonts w:ascii="Open Sans" w:eastAsia="Times New Roman" w:hAnsi="Open Sans" w:cs="Open Sans"/>
          <w:color w:val="393A3C"/>
          <w:kern w:val="0"/>
          <w:szCs w:val="24"/>
          <w:lang w:eastAsia="nl-NL"/>
          <w14:ligatures w14:val="none"/>
        </w:rPr>
        <w:t>De te verwachten index</w:t>
      </w:r>
      <w:r>
        <w:rPr>
          <w:rFonts w:ascii="Open Sans" w:eastAsia="Times New Roman" w:hAnsi="Open Sans" w:cs="Open Sans"/>
          <w:color w:val="393A3C"/>
          <w:kern w:val="0"/>
          <w:szCs w:val="24"/>
          <w:lang w:eastAsia="nl-NL"/>
          <w14:ligatures w14:val="none"/>
        </w:rPr>
        <w:t>a</w:t>
      </w:r>
      <w:r w:rsidRPr="00E65B73">
        <w:rPr>
          <w:rFonts w:ascii="Open Sans" w:eastAsia="Times New Roman" w:hAnsi="Open Sans" w:cs="Open Sans"/>
          <w:color w:val="393A3C"/>
          <w:kern w:val="0"/>
          <w:szCs w:val="24"/>
          <w:lang w:eastAsia="nl-NL"/>
          <w14:ligatures w14:val="none"/>
        </w:rPr>
        <w:t>tie</w:t>
      </w:r>
      <w:r>
        <w:rPr>
          <w:rFonts w:ascii="Open Sans" w:eastAsia="Times New Roman" w:hAnsi="Open Sans" w:cs="Open Sans"/>
          <w:color w:val="393A3C"/>
          <w:kern w:val="0"/>
          <w:szCs w:val="24"/>
          <w:lang w:eastAsia="nl-NL"/>
          <w14:ligatures w14:val="none"/>
        </w:rPr>
        <w:t xml:space="preserve"> zal dus niet meer dan maximaal 0,9 procent lager zijn in 2025 ten opzichte van 2024. Dat geeft enerzijds aan dat de gevolgen beperkt zijn, maar anderzijds onderstreept het dat ook het positieve effect op de dekkingsgraad richting 2026 gering is. Het had wat ons betreft dus beter achterwege kunnen blijven.</w:t>
      </w:r>
    </w:p>
    <w:p w14:paraId="14F57F4D" w14:textId="77777777" w:rsidR="00F62BE8" w:rsidRDefault="00F62BE8"/>
    <w:sectPr w:rsidR="00F62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373"/>
    <w:multiLevelType w:val="multilevel"/>
    <w:tmpl w:val="52D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0385B"/>
    <w:multiLevelType w:val="multilevel"/>
    <w:tmpl w:val="5BCC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865682">
    <w:abstractNumId w:val="0"/>
  </w:num>
  <w:num w:numId="2" w16cid:durableId="1191602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AF"/>
    <w:rsid w:val="007374AF"/>
    <w:rsid w:val="008750CD"/>
    <w:rsid w:val="009073A1"/>
    <w:rsid w:val="00A17D91"/>
    <w:rsid w:val="00E65B73"/>
    <w:rsid w:val="00F62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08EC"/>
  <w15:chartTrackingRefBased/>
  <w15:docId w15:val="{296E083C-DC7A-4C50-A6E2-BD811EB3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7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7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74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74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374A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374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374A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374A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374A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4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74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74A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7374A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7374A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7374A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374A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374A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374A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37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4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4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4A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374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74AF"/>
    <w:rPr>
      <w:i/>
      <w:iCs/>
      <w:color w:val="404040" w:themeColor="text1" w:themeTint="BF"/>
    </w:rPr>
  </w:style>
  <w:style w:type="paragraph" w:styleId="Lijstalinea">
    <w:name w:val="List Paragraph"/>
    <w:basedOn w:val="Standaard"/>
    <w:uiPriority w:val="34"/>
    <w:qFormat/>
    <w:rsid w:val="007374AF"/>
    <w:pPr>
      <w:ind w:left="720"/>
      <w:contextualSpacing/>
    </w:pPr>
  </w:style>
  <w:style w:type="character" w:styleId="Intensievebenadrukking">
    <w:name w:val="Intense Emphasis"/>
    <w:basedOn w:val="Standaardalinea-lettertype"/>
    <w:uiPriority w:val="21"/>
    <w:qFormat/>
    <w:rsid w:val="007374AF"/>
    <w:rPr>
      <w:i/>
      <w:iCs/>
      <w:color w:val="0F4761" w:themeColor="accent1" w:themeShade="BF"/>
    </w:rPr>
  </w:style>
  <w:style w:type="paragraph" w:styleId="Duidelijkcitaat">
    <w:name w:val="Intense Quote"/>
    <w:basedOn w:val="Standaard"/>
    <w:next w:val="Standaard"/>
    <w:link w:val="DuidelijkcitaatChar"/>
    <w:uiPriority w:val="30"/>
    <w:qFormat/>
    <w:rsid w:val="00737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74AF"/>
    <w:rPr>
      <w:i/>
      <w:iCs/>
      <w:color w:val="0F4761" w:themeColor="accent1" w:themeShade="BF"/>
    </w:rPr>
  </w:style>
  <w:style w:type="character" w:styleId="Intensieveverwijzing">
    <w:name w:val="Intense Reference"/>
    <w:basedOn w:val="Standaardalinea-lettertype"/>
    <w:uiPriority w:val="32"/>
    <w:qFormat/>
    <w:rsid w:val="007374AF"/>
    <w:rPr>
      <w:b/>
      <w:bCs/>
      <w:smallCaps/>
      <w:color w:val="0F4761" w:themeColor="accent1" w:themeShade="BF"/>
      <w:spacing w:val="5"/>
    </w:rPr>
  </w:style>
  <w:style w:type="paragraph" w:styleId="Normaalweb">
    <w:name w:val="Normal (Web)"/>
    <w:basedOn w:val="Standaard"/>
    <w:uiPriority w:val="99"/>
    <w:semiHidden/>
    <w:unhideWhenUsed/>
    <w:rsid w:val="007374AF"/>
    <w:pPr>
      <w:spacing w:before="100" w:beforeAutospacing="1" w:after="100" w:afterAutospacing="1" w:line="240" w:lineRule="auto"/>
    </w:pPr>
    <w:rPr>
      <w:rFonts w:ascii="Times New Roman" w:eastAsia="Times New Roman" w:hAnsi="Times New Roman"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27265">
      <w:bodyDiv w:val="1"/>
      <w:marLeft w:val="0"/>
      <w:marRight w:val="0"/>
      <w:marTop w:val="0"/>
      <w:marBottom w:val="0"/>
      <w:divBdr>
        <w:top w:val="none" w:sz="0" w:space="0" w:color="auto"/>
        <w:left w:val="none" w:sz="0" w:space="0" w:color="auto"/>
        <w:bottom w:val="none" w:sz="0" w:space="0" w:color="auto"/>
        <w:right w:val="none" w:sz="0" w:space="0" w:color="auto"/>
      </w:divBdr>
    </w:div>
    <w:div w:id="14669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182</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Michielse</dc:creator>
  <cp:keywords/>
  <dc:description/>
  <cp:lastModifiedBy>Cees Michielse</cp:lastModifiedBy>
  <cp:revision>3</cp:revision>
  <dcterms:created xsi:type="dcterms:W3CDTF">2024-07-30T11:13:00Z</dcterms:created>
  <dcterms:modified xsi:type="dcterms:W3CDTF">2024-07-30T13:42:00Z</dcterms:modified>
</cp:coreProperties>
</file>